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4C" w:rsidRPr="009E374C" w:rsidRDefault="009E374C" w:rsidP="009E374C">
      <w:pPr>
        <w:rPr>
          <w:b/>
          <w:bCs/>
          <w:sz w:val="28"/>
          <w:szCs w:val="28"/>
        </w:rPr>
      </w:pPr>
      <w:r w:rsidRPr="009E374C">
        <w:rPr>
          <w:b/>
          <w:bCs/>
          <w:sz w:val="28"/>
          <w:szCs w:val="28"/>
        </w:rPr>
        <w:t>Going Nowhere: A Gridlocked Congress</w:t>
      </w:r>
    </w:p>
    <w:p w:rsidR="009E374C" w:rsidRPr="009E374C" w:rsidRDefault="009E374C" w:rsidP="009E374C">
      <w:pPr>
        <w:spacing w:line="480" w:lineRule="auto"/>
        <w:rPr>
          <w:sz w:val="24"/>
          <w:szCs w:val="24"/>
        </w:rPr>
      </w:pPr>
      <w:r w:rsidRPr="009E374C">
        <w:rPr>
          <w:sz w:val="24"/>
          <w:szCs w:val="24"/>
        </w:rPr>
        <w:t>Gridlock is not a modern legislative invention. Although the term is said to have entered the American political lexicon after the 1980 elections, Alexander Hamilton was complaining more than two centuries ago about the deadlock rooted in the design of the Continental Congress. In many ways, gridlock is endemic to our national politics, the natural consequence of separated institutions sharing and competing for power.</w:t>
      </w:r>
    </w:p>
    <w:p w:rsidR="009E374C" w:rsidRPr="009E374C" w:rsidRDefault="009E374C" w:rsidP="009E374C">
      <w:pPr>
        <w:spacing w:line="480" w:lineRule="auto"/>
        <w:rPr>
          <w:sz w:val="24"/>
          <w:szCs w:val="24"/>
        </w:rPr>
      </w:pPr>
    </w:p>
    <w:p w:rsidR="009E374C" w:rsidRPr="009E374C" w:rsidRDefault="009E374C" w:rsidP="009E374C">
      <w:pPr>
        <w:spacing w:line="480" w:lineRule="auto"/>
        <w:rPr>
          <w:sz w:val="24"/>
          <w:szCs w:val="24"/>
        </w:rPr>
      </w:pPr>
      <w:r w:rsidRPr="009E374C">
        <w:rPr>
          <w:sz w:val="24"/>
          <w:szCs w:val="24"/>
        </w:rPr>
        <w:t>But even casual observers of Washington recognize tremendous variation in Congress’s performance. At times, congressional prowess is stunning. The Great Society Congress under Lyndon Johnson, for example, enacted landmark health care, environment, civil rights, transportation, and education statutes (to name a few). At other times, gridlock prevails, as when, in 1992, congressional efforts to cut the capital gains tax and to reform lobbying, campaign finance, banking, parental leave, and voter registration laws (to name a few) ended in deadlock.</w:t>
      </w:r>
    </w:p>
    <w:p w:rsidR="009E374C" w:rsidRPr="009E374C" w:rsidRDefault="009E374C" w:rsidP="009E374C">
      <w:pPr>
        <w:spacing w:line="480" w:lineRule="auto"/>
        <w:rPr>
          <w:sz w:val="24"/>
          <w:szCs w:val="24"/>
        </w:rPr>
      </w:pPr>
    </w:p>
    <w:p w:rsidR="009E374C" w:rsidRPr="009E374C" w:rsidRDefault="009E374C" w:rsidP="009E374C">
      <w:pPr>
        <w:spacing w:line="480" w:lineRule="auto"/>
        <w:rPr>
          <w:sz w:val="24"/>
          <w:szCs w:val="24"/>
        </w:rPr>
      </w:pPr>
      <w:r w:rsidRPr="009E374C">
        <w:rPr>
          <w:sz w:val="24"/>
          <w:szCs w:val="24"/>
        </w:rPr>
        <w:t xml:space="preserve">What accounts for such uneven performance? Why is Congress sometimes remarkably successful and other times mired in stalemate? For all our attention to the minutiae of Congress, we know little about the dimensions and causes of gridlock. How much do we have? How often do we get it? What drives it up and down? Such questions are particularly acute today, as Democrats and Republicans trade barbs over the do-nothing 106th Congress. Despite the first budget surplus in 30 years, Congress and the president remain deadlocked over </w:t>
      </w:r>
      <w:r w:rsidRPr="009E374C">
        <w:rPr>
          <w:sz w:val="24"/>
          <w:szCs w:val="24"/>
        </w:rPr>
        <w:lastRenderedPageBreak/>
        <w:t>numerous high-profile issues (including Social Security, Medicare, managed health care, and campaign finance reform), and they show few prospects of acting on these and other salient issues before the 2000 elections.</w:t>
      </w:r>
    </w:p>
    <w:p w:rsidR="009E374C" w:rsidRPr="009E374C" w:rsidRDefault="009E374C" w:rsidP="009E374C">
      <w:pPr>
        <w:spacing w:line="480" w:lineRule="auto"/>
        <w:rPr>
          <w:sz w:val="24"/>
          <w:szCs w:val="24"/>
        </w:rPr>
      </w:pPr>
    </w:p>
    <w:p w:rsidR="009E374C" w:rsidRPr="009E374C" w:rsidRDefault="009E374C" w:rsidP="009E374C">
      <w:pPr>
        <w:spacing w:line="480" w:lineRule="auto"/>
        <w:rPr>
          <w:b/>
          <w:sz w:val="24"/>
          <w:szCs w:val="24"/>
        </w:rPr>
      </w:pPr>
      <w:r w:rsidRPr="009E374C">
        <w:rPr>
          <w:b/>
          <w:sz w:val="24"/>
          <w:szCs w:val="24"/>
        </w:rPr>
        <w:t>An Elusive Concept</w:t>
      </w:r>
    </w:p>
    <w:p w:rsidR="009E374C" w:rsidRPr="009E374C" w:rsidRDefault="009E374C" w:rsidP="009E374C">
      <w:pPr>
        <w:spacing w:line="480" w:lineRule="auto"/>
        <w:rPr>
          <w:sz w:val="24"/>
          <w:szCs w:val="24"/>
        </w:rPr>
      </w:pPr>
      <w:r w:rsidRPr="009E374C">
        <w:rPr>
          <w:sz w:val="24"/>
          <w:szCs w:val="24"/>
        </w:rPr>
        <w:t>Some argue that gridlock is simply a constant of American political life. James Madison bequeathed us a political system designed not to work, a government of sharply limited powers. But surely the framers (dissatisfied with their governing experiment after the Revolution and fearful of rebellious debtors in the states) sought a strong national government that could govern—deliberately and efficiently, albeit insulated from the passions of popular majorities. Gridlock may be a frequent consequence of the Constitution, but that does not mean the framers preferred it.</w:t>
      </w:r>
    </w:p>
    <w:p w:rsidR="009E374C" w:rsidRPr="009E374C" w:rsidRDefault="009E374C" w:rsidP="009E374C">
      <w:pPr>
        <w:spacing w:line="480" w:lineRule="auto"/>
        <w:rPr>
          <w:sz w:val="24"/>
          <w:szCs w:val="24"/>
        </w:rPr>
      </w:pPr>
    </w:p>
    <w:p w:rsidR="009E374C" w:rsidRPr="009E374C" w:rsidRDefault="009E374C" w:rsidP="009E374C">
      <w:pPr>
        <w:spacing w:line="480" w:lineRule="auto"/>
        <w:rPr>
          <w:sz w:val="24"/>
          <w:szCs w:val="24"/>
        </w:rPr>
      </w:pPr>
      <w:r w:rsidRPr="009E374C">
        <w:rPr>
          <w:sz w:val="24"/>
          <w:szCs w:val="24"/>
        </w:rPr>
        <w:t xml:space="preserve">Others might object to labeling legislative inaction as “gridlock.” If a government that “governs least governs best,” then policy stability should be applauded, not derided as gridlock. But views about gridlock tend to vary with one’s political circumstance. Former Senate Majority Leader Bob Dole put it best: “If you’re against something, you’d better hope there’s a little gridlock.” Legislative action, after all, can produce either liberal or conservative policy change. “Gridlock” might simply be an unfortunate choice of words, a clumsy term for Washington’s inability to broach and secure policy compromise (whether liberal or conservative in design). If </w:t>
      </w:r>
      <w:r w:rsidRPr="009E374C">
        <w:rPr>
          <w:sz w:val="24"/>
          <w:szCs w:val="24"/>
        </w:rPr>
        <w:lastRenderedPageBreak/>
        <w:t>so, understanding the causes of gridlock should interest any keen observer or participant in national politics, regardless of party or ideology.</w:t>
      </w:r>
    </w:p>
    <w:p w:rsidR="009E374C" w:rsidRDefault="009E374C" w:rsidP="009E374C">
      <w:pPr>
        <w:rPr>
          <w:b/>
        </w:rPr>
      </w:pPr>
    </w:p>
    <w:p w:rsidR="009E374C" w:rsidRPr="009E374C" w:rsidRDefault="009E374C" w:rsidP="009E374C">
      <w:pPr>
        <w:rPr>
          <w:b/>
        </w:rPr>
      </w:pPr>
      <w:bookmarkStart w:id="0" w:name="_GoBack"/>
      <w:bookmarkEnd w:id="0"/>
      <w:r w:rsidRPr="009E374C">
        <w:rPr>
          <w:b/>
        </w:rPr>
        <w:t>Evaluating Gridlock</w:t>
      </w:r>
    </w:p>
    <w:p w:rsidR="009E374C" w:rsidRDefault="009E374C" w:rsidP="009E374C"/>
    <w:p w:rsidR="009E374C" w:rsidRPr="009E374C" w:rsidRDefault="009E374C" w:rsidP="009E374C">
      <w:pPr>
        <w:spacing w:line="480" w:lineRule="auto"/>
        <w:rPr>
          <w:sz w:val="24"/>
          <w:szCs w:val="24"/>
        </w:rPr>
      </w:pPr>
      <w:r w:rsidRPr="009E374C">
        <w:rPr>
          <w:sz w:val="24"/>
          <w:szCs w:val="24"/>
        </w:rPr>
        <w:t>Getting a handle on gridlock is tricky. Typically, scholars assess Congress’s productivity, counting up the number of important laws enacted each Congress. When output is low, we say that gridlock is high, and vice versa. But measuring output without respect to the agenda of salient issues risks misstating the true level of gridlock. A Congress might produce little legislation because it is truly gridlocked. Or it might be unproductive because it faces a limited agenda. With little on its legislative plate, surely Congress should not be blamed for producing meager results. We can evaluate Congress’s performance only if we have some idea of the size of the underlying policy agenda.</w:t>
      </w:r>
    </w:p>
    <w:p w:rsidR="009E374C" w:rsidRDefault="009E374C" w:rsidP="009E374C"/>
    <w:tbl>
      <w:tblPr>
        <w:tblW w:w="5000" w:type="pct"/>
        <w:jc w:val="center"/>
        <w:shd w:val="clear" w:color="auto" w:fill="FAFAFA"/>
        <w:tblCellMar>
          <w:left w:w="0" w:type="dxa"/>
          <w:right w:w="0" w:type="dxa"/>
        </w:tblCellMar>
        <w:tblLook w:val="04A0" w:firstRow="1" w:lastRow="0" w:firstColumn="1" w:lastColumn="0" w:noHBand="0" w:noVBand="1"/>
      </w:tblPr>
      <w:tblGrid>
        <w:gridCol w:w="2534"/>
        <w:gridCol w:w="3631"/>
        <w:gridCol w:w="3179"/>
      </w:tblGrid>
      <w:tr w:rsidR="009E374C" w:rsidRPr="009E374C" w:rsidTr="009E374C">
        <w:trPr>
          <w:jc w:val="center"/>
        </w:trPr>
        <w:tc>
          <w:tcPr>
            <w:tcW w:w="0" w:type="auto"/>
            <w:gridSpan w:val="3"/>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jc w:val="center"/>
              <w:rPr>
                <w:rFonts w:ascii="inherit" w:eastAsia="Times New Roman" w:hAnsi="inherit" w:cs="Helvetica"/>
                <w:b/>
                <w:bCs/>
                <w:color w:val="101010"/>
                <w:sz w:val="30"/>
                <w:szCs w:val="30"/>
              </w:rPr>
            </w:pPr>
            <w:r w:rsidRPr="009E374C">
              <w:rPr>
                <w:rFonts w:ascii="inherit" w:eastAsia="Times New Roman" w:hAnsi="inherit" w:cs="Helvetica"/>
                <w:b/>
                <w:bCs/>
                <w:color w:val="101010"/>
                <w:sz w:val="30"/>
                <w:szCs w:val="30"/>
              </w:rPr>
              <w:t>Table 2. Contributors to Policy Gridlock, 1951-96</w:t>
            </w:r>
          </w:p>
        </w:tc>
      </w:tr>
      <w:tr w:rsidR="009E374C" w:rsidRPr="009E374C" w:rsidTr="009E374C">
        <w:trPr>
          <w:jc w:val="center"/>
        </w:trPr>
        <w:tc>
          <w:tcPr>
            <w:tcW w:w="1250" w:type="pct"/>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INDEPENDENT VARIABLE</w:t>
            </w:r>
          </w:p>
        </w:tc>
        <w:tc>
          <w:tcPr>
            <w:tcW w:w="0" w:type="auto"/>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CHANGE IN INDEPENDENT VARIABLE (FROM — TO)</w:t>
            </w:r>
          </w:p>
        </w:tc>
        <w:tc>
          <w:tcPr>
            <w:tcW w:w="0" w:type="auto"/>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SIMULATED CHANGE IN LEVEL OF GRIDLOCK</w:t>
            </w:r>
          </w:p>
        </w:tc>
      </w:tr>
      <w:tr w:rsidR="009E374C" w:rsidRPr="009E374C" w:rsidTr="009E374C">
        <w:trPr>
          <w:jc w:val="center"/>
        </w:trPr>
        <w:tc>
          <w:tcPr>
            <w:tcW w:w="0" w:type="auto"/>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Divided government</w:t>
            </w:r>
          </w:p>
        </w:tc>
        <w:tc>
          <w:tcPr>
            <w:tcW w:w="0" w:type="auto"/>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jc w:val="center"/>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unified — divided</w:t>
            </w:r>
          </w:p>
        </w:tc>
        <w:tc>
          <w:tcPr>
            <w:tcW w:w="0" w:type="auto"/>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jc w:val="right"/>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+8%</w:t>
            </w:r>
          </w:p>
        </w:tc>
      </w:tr>
      <w:tr w:rsidR="009E374C" w:rsidRPr="009E374C" w:rsidTr="009E374C">
        <w:trPr>
          <w:jc w:val="center"/>
        </w:trPr>
        <w:tc>
          <w:tcPr>
            <w:tcW w:w="0" w:type="auto"/>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Percentage of “centrists”</w:t>
            </w:r>
          </w:p>
        </w:tc>
        <w:tc>
          <w:tcPr>
            <w:tcW w:w="0" w:type="auto"/>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jc w:val="center"/>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19% — 34%</w:t>
            </w:r>
          </w:p>
        </w:tc>
        <w:tc>
          <w:tcPr>
            <w:tcW w:w="0" w:type="auto"/>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jc w:val="right"/>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-10%</w:t>
            </w:r>
          </w:p>
        </w:tc>
      </w:tr>
      <w:tr w:rsidR="009E374C" w:rsidRPr="009E374C" w:rsidTr="009E374C">
        <w:trPr>
          <w:jc w:val="center"/>
        </w:trPr>
        <w:tc>
          <w:tcPr>
            <w:tcW w:w="0" w:type="auto"/>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rPr>
                <w:rFonts w:ascii="inherit" w:eastAsia="Times New Roman" w:hAnsi="inherit" w:cs="Helvetica"/>
                <w:color w:val="101010"/>
                <w:sz w:val="30"/>
                <w:szCs w:val="30"/>
              </w:rPr>
            </w:pPr>
            <w:r w:rsidRPr="009E374C">
              <w:rPr>
                <w:rFonts w:ascii="inherit" w:eastAsia="Times New Roman" w:hAnsi="inherit" w:cs="Helvetica"/>
                <w:color w:val="101010"/>
                <w:sz w:val="30"/>
                <w:szCs w:val="30"/>
              </w:rPr>
              <w:lastRenderedPageBreak/>
              <w:t>Policy distance between House and Senate</w:t>
            </w:r>
          </w:p>
        </w:tc>
        <w:tc>
          <w:tcPr>
            <w:tcW w:w="0" w:type="auto"/>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jc w:val="center"/>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.07 — .30</w:t>
            </w:r>
          </w:p>
        </w:tc>
        <w:tc>
          <w:tcPr>
            <w:tcW w:w="0" w:type="auto"/>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jc w:val="right"/>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+13%</w:t>
            </w:r>
          </w:p>
        </w:tc>
      </w:tr>
      <w:tr w:rsidR="009E374C" w:rsidRPr="009E374C" w:rsidTr="009E374C">
        <w:trPr>
          <w:jc w:val="center"/>
        </w:trPr>
        <w:tc>
          <w:tcPr>
            <w:tcW w:w="0" w:type="auto"/>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Filibuster threat</w:t>
            </w:r>
          </w:p>
        </w:tc>
        <w:tc>
          <w:tcPr>
            <w:tcW w:w="0" w:type="auto"/>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jc w:val="center"/>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0 — 7.5</w:t>
            </w:r>
          </w:p>
        </w:tc>
        <w:tc>
          <w:tcPr>
            <w:tcW w:w="0" w:type="auto"/>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jc w:val="right"/>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+6%</w:t>
            </w:r>
          </w:p>
        </w:tc>
      </w:tr>
      <w:tr w:rsidR="009E374C" w:rsidRPr="009E374C" w:rsidTr="009E374C">
        <w:trPr>
          <w:jc w:val="center"/>
        </w:trPr>
        <w:tc>
          <w:tcPr>
            <w:tcW w:w="0" w:type="auto"/>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Budget situation (surplus/deficit as percentage of federal outlays)</w:t>
            </w:r>
          </w:p>
        </w:tc>
        <w:tc>
          <w:tcPr>
            <w:tcW w:w="0" w:type="auto"/>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jc w:val="center"/>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-19% — -2%</w:t>
            </w:r>
          </w:p>
        </w:tc>
        <w:tc>
          <w:tcPr>
            <w:tcW w:w="0" w:type="auto"/>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jc w:val="right"/>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-2%</w:t>
            </w:r>
          </w:p>
        </w:tc>
      </w:tr>
      <w:tr w:rsidR="009E374C" w:rsidRPr="009E374C" w:rsidTr="009E374C">
        <w:trPr>
          <w:jc w:val="center"/>
        </w:trPr>
        <w:tc>
          <w:tcPr>
            <w:tcW w:w="0" w:type="auto"/>
            <w:gridSpan w:val="3"/>
            <w:tcBorders>
              <w:top w:val="single" w:sz="6" w:space="0" w:color="D8D8D8"/>
              <w:left w:val="single" w:sz="6" w:space="0" w:color="D8D8D8"/>
              <w:bottom w:val="single" w:sz="6" w:space="0" w:color="D8D8D8"/>
              <w:right w:val="single" w:sz="6" w:space="0" w:color="D8D8D8"/>
            </w:tcBorders>
            <w:shd w:val="clear" w:color="auto" w:fill="FAFAFA"/>
            <w:tcMar>
              <w:top w:w="150" w:type="dxa"/>
              <w:left w:w="225" w:type="dxa"/>
              <w:bottom w:w="150" w:type="dxa"/>
              <w:right w:w="225" w:type="dxa"/>
            </w:tcMar>
            <w:vAlign w:val="bottom"/>
            <w:hideMark/>
          </w:tcPr>
          <w:p w:rsidR="009E374C" w:rsidRPr="009E374C" w:rsidRDefault="009E374C" w:rsidP="009E374C">
            <w:pPr>
              <w:spacing w:after="0" w:line="240" w:lineRule="auto"/>
              <w:rPr>
                <w:rFonts w:ascii="inherit" w:eastAsia="Times New Roman" w:hAnsi="inherit" w:cs="Helvetica"/>
                <w:color w:val="101010"/>
                <w:sz w:val="30"/>
                <w:szCs w:val="30"/>
              </w:rPr>
            </w:pPr>
            <w:r w:rsidRPr="009E374C">
              <w:rPr>
                <w:rFonts w:ascii="inherit" w:eastAsia="Times New Roman" w:hAnsi="inherit" w:cs="Helvetica"/>
                <w:color w:val="101010"/>
                <w:sz w:val="30"/>
                <w:szCs w:val="30"/>
              </w:rPr>
              <w:t>Note: The simulated changes in gridlock are based on statistical estimates from a grouped logit model in which the level of gridlock is the dependent variable. Additional independent variables include a set of controls (not shown) for ideological diversity across members, time spent in the minority for each new majority party, and the public mood. Changes in gridlock are simulated by varying the values of each independent variable between the values in column 2 (i.e., one standard deviation below and above its mean value for continuous variables and between 0 and 1 for divided government). For parameter estimates and details on measurement, see Sarah A. Binder, “The Dynamics of Legislative Gridlock,” </w:t>
            </w:r>
            <w:r w:rsidRPr="009E374C">
              <w:rPr>
                <w:rFonts w:ascii="inherit" w:eastAsia="Times New Roman" w:hAnsi="inherit" w:cs="Helvetica"/>
                <w:i/>
                <w:iCs/>
                <w:color w:val="101010"/>
                <w:sz w:val="30"/>
                <w:szCs w:val="30"/>
                <w:bdr w:val="none" w:sz="0" w:space="0" w:color="auto" w:frame="1"/>
              </w:rPr>
              <w:t>American Political Science Review,</w:t>
            </w:r>
            <w:r w:rsidRPr="009E374C">
              <w:rPr>
                <w:rFonts w:ascii="inherit" w:eastAsia="Times New Roman" w:hAnsi="inherit" w:cs="Helvetica"/>
                <w:color w:val="101010"/>
                <w:sz w:val="30"/>
                <w:szCs w:val="30"/>
              </w:rPr>
              <w:t> vol. 93 (September 1999): 519-533.</w:t>
            </w:r>
          </w:p>
        </w:tc>
      </w:tr>
    </w:tbl>
    <w:p w:rsidR="009E374C" w:rsidRDefault="009E374C" w:rsidP="009E374C"/>
    <w:p w:rsidR="009E374C" w:rsidRPr="009E374C" w:rsidRDefault="009E374C" w:rsidP="009E374C">
      <w:pPr>
        <w:spacing w:line="480" w:lineRule="auto"/>
        <w:rPr>
          <w:sz w:val="24"/>
          <w:szCs w:val="24"/>
        </w:rPr>
      </w:pPr>
      <w:r w:rsidRPr="009E374C">
        <w:rPr>
          <w:sz w:val="24"/>
          <w:szCs w:val="24"/>
        </w:rPr>
        <w:t xml:space="preserve">But neither institutional nor electoral features of Congress are immutable. True, we are likely stuck with a bicameral system, despite calls from Governor Jesse Ventura (Reform-MN) and others to consider the unicameral alternative. But the impact of the filibuster can be lessened by reforming Senate rules to make it easier to invoke cloture or by eliminating the noxious practice of anonymous holds. Elections, of course, are the ultimate recourse for voters dissatisfied by partisan polarization and the conduct of Congress. Nudging Congress back to the center by sending more centrist legislators to Washington would be one way to alleviate </w:t>
      </w:r>
      <w:r w:rsidRPr="009E374C">
        <w:rPr>
          <w:sz w:val="24"/>
          <w:szCs w:val="24"/>
        </w:rPr>
        <w:lastRenderedPageBreak/>
        <w:t>gridlock. Still, diagnosing the ills of a body politic is one thing; rousing the patient to seek treatment is another.</w:t>
      </w:r>
    </w:p>
    <w:p w:rsidR="000047EB" w:rsidRDefault="000047EB"/>
    <w:sectPr w:rsidR="00004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4C"/>
    <w:rsid w:val="000047EB"/>
    <w:rsid w:val="009E374C"/>
    <w:rsid w:val="00F2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2B18"/>
  <w15:chartTrackingRefBased/>
  <w15:docId w15:val="{5D1EF24C-ACE0-4F28-B26D-56D2537A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4514">
      <w:bodyDiv w:val="1"/>
      <w:marLeft w:val="0"/>
      <w:marRight w:val="0"/>
      <w:marTop w:val="0"/>
      <w:marBottom w:val="0"/>
      <w:divBdr>
        <w:top w:val="none" w:sz="0" w:space="0" w:color="auto"/>
        <w:left w:val="none" w:sz="0" w:space="0" w:color="auto"/>
        <w:bottom w:val="none" w:sz="0" w:space="0" w:color="auto"/>
        <w:right w:val="none" w:sz="0" w:space="0" w:color="auto"/>
      </w:divBdr>
    </w:div>
    <w:div w:id="5975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Condell</dc:creator>
  <cp:keywords/>
  <dc:description/>
  <cp:lastModifiedBy>Williams, Condell</cp:lastModifiedBy>
  <cp:revision>2</cp:revision>
  <dcterms:created xsi:type="dcterms:W3CDTF">2017-12-06T21:46:00Z</dcterms:created>
  <dcterms:modified xsi:type="dcterms:W3CDTF">2017-12-06T21:46:00Z</dcterms:modified>
</cp:coreProperties>
</file>